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64" w:rsidRPr="005C2964" w:rsidRDefault="005C2964" w:rsidP="005C2964">
      <w:pPr>
        <w:pStyle w:val="ConsPlusNormal"/>
        <w:jc w:val="center"/>
        <w:rPr>
          <w:rFonts w:ascii="Times New Roman" w:hAnsi="Times New Roman"/>
          <w:b/>
          <w:sz w:val="28"/>
          <w:szCs w:val="28"/>
        </w:rPr>
      </w:pPr>
      <w:r w:rsidRPr="005C2964">
        <w:rPr>
          <w:rFonts w:ascii="Times New Roman" w:hAnsi="Times New Roman"/>
          <w:b/>
          <w:sz w:val="28"/>
          <w:szCs w:val="28"/>
        </w:rPr>
        <w:t>ИНФОРМАЦИЯ</w:t>
      </w:r>
    </w:p>
    <w:p w:rsidR="005C2964" w:rsidRPr="005C2964" w:rsidRDefault="005C2964" w:rsidP="005C2964">
      <w:pPr>
        <w:pStyle w:val="ConsPlusNormal"/>
        <w:jc w:val="center"/>
        <w:rPr>
          <w:rFonts w:ascii="Times New Roman" w:hAnsi="Times New Roman"/>
          <w:b/>
          <w:sz w:val="28"/>
          <w:szCs w:val="28"/>
        </w:rPr>
      </w:pPr>
      <w:r w:rsidRPr="005C2964">
        <w:rPr>
          <w:rFonts w:ascii="Times New Roman" w:hAnsi="Times New Roman"/>
          <w:b/>
          <w:sz w:val="28"/>
          <w:szCs w:val="28"/>
        </w:rPr>
        <w:t>о финансировании проекта</w:t>
      </w:r>
      <w:r w:rsidR="000D1712">
        <w:rPr>
          <w:rFonts w:ascii="Times New Roman" w:hAnsi="Times New Roman"/>
          <w:b/>
          <w:sz w:val="28"/>
          <w:szCs w:val="28"/>
        </w:rPr>
        <w:t xml:space="preserve"> и результатах предоставления субсидии</w:t>
      </w:r>
      <w:r w:rsidRPr="005C2964">
        <w:rPr>
          <w:rFonts w:ascii="Times New Roman" w:hAnsi="Times New Roman"/>
          <w:b/>
          <w:sz w:val="28"/>
          <w:szCs w:val="28"/>
        </w:rPr>
        <w:t xml:space="preserve"> в рамках конкурса на предоставление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w:t>
      </w:r>
    </w:p>
    <w:p w:rsidR="005C2964" w:rsidRPr="005C2964" w:rsidRDefault="005C2964" w:rsidP="005C2964">
      <w:pPr>
        <w:pStyle w:val="ConsPlusNormal"/>
        <w:ind w:firstLine="709"/>
        <w:jc w:val="both"/>
        <w:rPr>
          <w:rFonts w:ascii="Times New Roman" w:hAnsi="Times New Roman"/>
          <w:sz w:val="28"/>
          <w:szCs w:val="28"/>
        </w:rPr>
      </w:pP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 xml:space="preserve">Субсидия предоставляется на срок реализации проекта, при этом срок </w:t>
      </w:r>
      <w:bookmarkStart w:id="0" w:name="P148"/>
      <w:bookmarkEnd w:id="0"/>
      <w:r w:rsidRPr="005C2964">
        <w:rPr>
          <w:rFonts w:ascii="Times New Roman" w:hAnsi="Times New Roman"/>
          <w:sz w:val="28"/>
          <w:szCs w:val="28"/>
        </w:rPr>
        <w:t xml:space="preserve">реализации проекта может быть в пределах одного финансового года (с даты заключения договора до 31 декабря года предоставления субсидии) или двух финансовых лет (с даты заключения договора до 31 декабря года, следующего за годом предоставления субсидии), при условии </w:t>
      </w:r>
      <w:proofErr w:type="spellStart"/>
      <w:r w:rsidRPr="005C2964">
        <w:rPr>
          <w:rFonts w:ascii="Times New Roman" w:hAnsi="Times New Roman"/>
          <w:sz w:val="28"/>
          <w:szCs w:val="28"/>
        </w:rPr>
        <w:t>софинансирования</w:t>
      </w:r>
      <w:proofErr w:type="spellEnd"/>
      <w:r w:rsidRPr="005C2964">
        <w:rPr>
          <w:rFonts w:ascii="Times New Roman" w:hAnsi="Times New Roman"/>
          <w:sz w:val="28"/>
          <w:szCs w:val="28"/>
        </w:rPr>
        <w:t xml:space="preserve"> проекта получателем субсидии за счет собственных и (или) привлеченных средств в размере, установленном в подпункте 5 пункта 9 Порядка, согласно договору. </w:t>
      </w:r>
    </w:p>
    <w:p w:rsidR="00D366B3" w:rsidRDefault="00D366B3" w:rsidP="005C2964">
      <w:pPr>
        <w:pStyle w:val="ConsPlusNormal"/>
        <w:ind w:firstLine="709"/>
        <w:jc w:val="both"/>
        <w:rPr>
          <w:rFonts w:ascii="Times New Roman" w:hAnsi="Times New Roman"/>
          <w:sz w:val="28"/>
          <w:szCs w:val="28"/>
        </w:rPr>
      </w:pP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Размер субсидии определяется запрашиваемым объемом финансирования проекта в соответствии с заявкой, но не может превышать:</w:t>
      </w:r>
    </w:p>
    <w:p w:rsidR="005C2964" w:rsidRPr="00D366B3" w:rsidRDefault="005C2964" w:rsidP="005C2964">
      <w:pPr>
        <w:pStyle w:val="ConsPlusNormal"/>
        <w:ind w:firstLine="709"/>
        <w:jc w:val="both"/>
        <w:rPr>
          <w:rFonts w:ascii="Times New Roman" w:hAnsi="Times New Roman"/>
          <w:b/>
          <w:sz w:val="28"/>
          <w:szCs w:val="28"/>
        </w:rPr>
      </w:pPr>
      <w:r w:rsidRPr="00D366B3">
        <w:rPr>
          <w:rFonts w:ascii="Times New Roman" w:hAnsi="Times New Roman"/>
          <w:b/>
          <w:sz w:val="28"/>
          <w:szCs w:val="28"/>
        </w:rPr>
        <w:t>1) для проектов, указанных в подпункте 1 пункта 5 Порядка: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а) 3 млн. рублей – для проектов со сроком реализации в пределах одного финансового года;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б) 6 млн. рублей – для проектов со сроком реализации в пределах двух финансовых лет, при этом в пределах одного финансового года предоставляется не болеет 3 млн. рублей;</w:t>
      </w:r>
    </w:p>
    <w:p w:rsidR="00D366B3" w:rsidRDefault="00D366B3" w:rsidP="005C2964">
      <w:pPr>
        <w:pStyle w:val="ConsPlusNormal"/>
        <w:ind w:firstLine="709"/>
        <w:jc w:val="both"/>
        <w:rPr>
          <w:rFonts w:ascii="Times New Roman" w:hAnsi="Times New Roman"/>
          <w:b/>
          <w:sz w:val="28"/>
          <w:szCs w:val="28"/>
        </w:rPr>
      </w:pPr>
    </w:p>
    <w:p w:rsidR="005C2964" w:rsidRPr="00D366B3" w:rsidRDefault="005C2964" w:rsidP="005C2964">
      <w:pPr>
        <w:pStyle w:val="ConsPlusNormal"/>
        <w:ind w:firstLine="709"/>
        <w:jc w:val="both"/>
        <w:rPr>
          <w:rFonts w:ascii="Times New Roman" w:hAnsi="Times New Roman"/>
          <w:b/>
          <w:sz w:val="28"/>
          <w:szCs w:val="28"/>
        </w:rPr>
      </w:pPr>
      <w:r w:rsidRPr="00D366B3">
        <w:rPr>
          <w:rFonts w:ascii="Times New Roman" w:hAnsi="Times New Roman"/>
          <w:b/>
          <w:sz w:val="28"/>
          <w:szCs w:val="28"/>
        </w:rPr>
        <w:t>2) для проектов, указанных в подпункте 2 пункта 5 Порядка: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а) 5 млн. рублей – для проектов со сроком реализации в пределах одного финансового года;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б) 10 млн. рублей – для проектов со сроком реализации в пределах двух финансовых лет, при этом в пределах одного финансового года предоставляется не болеет 5 млн. руб.</w:t>
      </w:r>
    </w:p>
    <w:p w:rsidR="00D366B3" w:rsidRDefault="00D366B3" w:rsidP="005C2964">
      <w:pPr>
        <w:pStyle w:val="ConsPlusNormal"/>
        <w:ind w:firstLine="709"/>
        <w:jc w:val="both"/>
        <w:rPr>
          <w:rFonts w:ascii="Times New Roman" w:hAnsi="Times New Roman"/>
          <w:b/>
          <w:sz w:val="28"/>
          <w:szCs w:val="28"/>
        </w:rPr>
      </w:pPr>
    </w:p>
    <w:p w:rsidR="005C2964" w:rsidRPr="00D366B3" w:rsidRDefault="005C2964" w:rsidP="005C2964">
      <w:pPr>
        <w:pStyle w:val="ConsPlusNormal"/>
        <w:ind w:firstLine="709"/>
        <w:jc w:val="both"/>
        <w:rPr>
          <w:rFonts w:ascii="Times New Roman" w:hAnsi="Times New Roman"/>
          <w:b/>
          <w:sz w:val="28"/>
          <w:szCs w:val="28"/>
        </w:rPr>
      </w:pPr>
      <w:r w:rsidRPr="00D366B3">
        <w:rPr>
          <w:rFonts w:ascii="Times New Roman" w:hAnsi="Times New Roman"/>
          <w:b/>
          <w:sz w:val="28"/>
          <w:szCs w:val="28"/>
        </w:rPr>
        <w:t>3) для проектов, указанных в подпункте 3 пункта 5 Порядка: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а) 10 млн. рублей – для проектов со сроком реализации в пределах одного финансового года;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б) 20 млн. рублей – для проектов со сроком реализации в пределах двух финансовых лет, при этом в пределах одного финансового года предоставляется не болеет 10 млн. рублей.</w:t>
      </w:r>
    </w:p>
    <w:p w:rsidR="00D366B3" w:rsidRDefault="00D366B3" w:rsidP="005C2964">
      <w:pPr>
        <w:pStyle w:val="ConsPlusNormal"/>
        <w:ind w:firstLine="709"/>
        <w:jc w:val="both"/>
        <w:rPr>
          <w:rFonts w:ascii="Times New Roman" w:hAnsi="Times New Roman"/>
          <w:sz w:val="28"/>
          <w:szCs w:val="28"/>
        </w:rPr>
      </w:pPr>
    </w:p>
    <w:p w:rsidR="00C72F2E" w:rsidRDefault="00C72F2E" w:rsidP="00F509D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Направления допустимых расходов (затрат), источником финансового обеспечения которых являются субсидия, а также собственные и (или) привлеченные средства заявителя, направляемые на реализацию проекта, и их предельные объемы:</w:t>
      </w:r>
    </w:p>
    <w:p w:rsidR="00C72F2E" w:rsidRDefault="00C72F2E" w:rsidP="00C72F2E">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F509D0" w:rsidRDefault="00F509D0" w:rsidP="00C72F2E">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F509D0" w:rsidRDefault="00F509D0" w:rsidP="00C72F2E">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F509D0" w:rsidRDefault="00F509D0" w:rsidP="00C72F2E">
      <w:pPr>
        <w:autoSpaceDE w:val="0"/>
        <w:autoSpaceDN w:val="0"/>
        <w:adjustRightInd w:val="0"/>
        <w:spacing w:after="0" w:line="240" w:lineRule="auto"/>
        <w:ind w:firstLine="540"/>
        <w:jc w:val="both"/>
        <w:outlineLvl w:val="0"/>
        <w:rPr>
          <w:rFonts w:ascii="Times New Roman" w:eastAsiaTheme="minorHAnsi" w:hAnsi="Times New Roman"/>
          <w:sz w:val="28"/>
          <w:szCs w:val="28"/>
        </w:rPr>
      </w:pPr>
    </w:p>
    <w:p w:rsidR="00F509D0" w:rsidRDefault="00F509D0" w:rsidP="00C72F2E">
      <w:pPr>
        <w:autoSpaceDE w:val="0"/>
        <w:autoSpaceDN w:val="0"/>
        <w:adjustRightInd w:val="0"/>
        <w:spacing w:after="0" w:line="240" w:lineRule="auto"/>
        <w:ind w:firstLine="540"/>
        <w:jc w:val="both"/>
        <w:outlineLvl w:val="0"/>
        <w:rPr>
          <w:rFonts w:ascii="Times New Roman" w:eastAsiaTheme="minorHAnsi" w:hAnsi="Times New Roman"/>
          <w:sz w:val="28"/>
          <w:szCs w:val="28"/>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1904"/>
        <w:gridCol w:w="1266"/>
        <w:gridCol w:w="1403"/>
        <w:gridCol w:w="1266"/>
        <w:gridCol w:w="1403"/>
        <w:gridCol w:w="1266"/>
        <w:gridCol w:w="1403"/>
      </w:tblGrid>
      <w:tr w:rsidR="00C72F2E" w:rsidRPr="007A7087" w:rsidTr="00F509D0">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Направления расходов (затрат)</w:t>
            </w:r>
          </w:p>
        </w:tc>
        <w:tc>
          <w:tcPr>
            <w:tcW w:w="0" w:type="auto"/>
            <w:gridSpan w:val="6"/>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Предельные объемы затрат за счет &lt;*&gt;:</w:t>
            </w:r>
          </w:p>
        </w:tc>
      </w:tr>
      <w:tr w:rsidR="00C72F2E" w:rsidRPr="007A7087" w:rsidTr="00F509D0">
        <w:trPr>
          <w:jc w:val="center"/>
        </w:trPr>
        <w:tc>
          <w:tcPr>
            <w:tcW w:w="0" w:type="auto"/>
            <w:vMerge/>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собственных и (или) привлеченных средств заявителя</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собственных и (или) привлеченных средств заявителя</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собственных и (или) привлеченных средств заявителя</w:t>
            </w:r>
          </w:p>
        </w:tc>
      </w:tr>
      <w:tr w:rsidR="00C72F2E" w:rsidRPr="007A7087" w:rsidTr="00F509D0">
        <w:trPr>
          <w:jc w:val="center"/>
        </w:trPr>
        <w:tc>
          <w:tcPr>
            <w:tcW w:w="0" w:type="auto"/>
            <w:vMerge/>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p>
        </w:tc>
        <w:tc>
          <w:tcPr>
            <w:tcW w:w="0" w:type="auto"/>
            <w:gridSpan w:val="2"/>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для категории получателей субсидий, установленной в подпункте 1 пункта 5 Порядка</w:t>
            </w:r>
          </w:p>
        </w:tc>
        <w:tc>
          <w:tcPr>
            <w:tcW w:w="0" w:type="auto"/>
            <w:gridSpan w:val="2"/>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для категории получателей субсидий, установленной в подпункте 2 пункта 5 Порядка</w:t>
            </w:r>
          </w:p>
        </w:tc>
        <w:tc>
          <w:tcPr>
            <w:tcW w:w="0" w:type="auto"/>
            <w:gridSpan w:val="2"/>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для категории получателей субсидий, установленной в подпункте 3 пункта 5 Порядка</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Заработная плата (начисленная заработная плата, включающая НДФЛ)</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 &lt;**&gt;</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 &lt;**&gt;</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70%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 &lt;**&gt;</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Начисления на заработную плату (1 - единый налоговый платеж (страховые взносы); 2 - взносы от несчастных случаев на производстве и профессиональных заболеваний)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30% от начисленной заработной платы</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Приобретение технологии, включая передачу документации и передачу прав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более 1,0 млн рублей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более 1,0 млн рублей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более 1 млн рублей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Приобретение материалов, сырья, комплектующих</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Приобретение, в том числе во временное пользование, специального оборудования, приборов для целей реализации проекта</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Оплата работ (внешних НИР и (или) ОКР) соисполнителей:</w:t>
            </w:r>
          </w:p>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научных организаций;</w:t>
            </w:r>
          </w:p>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100%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20%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100%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не менее 20%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Оплата прочих работ и услуг соисполнителей, в том числе по оценке затрат, связанных с приобретением технологий</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100%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50%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100%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80% объема собственных и (или) привлеченных средств</w:t>
            </w:r>
          </w:p>
        </w:tc>
      </w:tr>
      <w:tr w:rsidR="00C72F2E" w:rsidRPr="007A7087" w:rsidTr="00F509D0">
        <w:trPr>
          <w:jc w:val="center"/>
        </w:trPr>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rPr>
                <w:rFonts w:ascii="Times New Roman" w:eastAsiaTheme="minorHAnsi" w:hAnsi="Times New Roman"/>
              </w:rPr>
            </w:pPr>
            <w:r w:rsidRPr="007A7087">
              <w:rPr>
                <w:rFonts w:ascii="Times New Roman" w:eastAsiaTheme="minorHAnsi" w:hAnsi="Times New Roman"/>
              </w:rPr>
              <w:t>Прочие общехозяйственные расходы</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собственных и (или) привлеченных средств</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субсидии</w:t>
            </w:r>
          </w:p>
        </w:tc>
        <w:tc>
          <w:tcPr>
            <w:tcW w:w="0" w:type="auto"/>
            <w:tcBorders>
              <w:top w:val="single" w:sz="4" w:space="0" w:color="auto"/>
              <w:left w:val="single" w:sz="4" w:space="0" w:color="auto"/>
              <w:bottom w:val="single" w:sz="4" w:space="0" w:color="auto"/>
              <w:right w:val="single" w:sz="4" w:space="0" w:color="auto"/>
            </w:tcBorders>
          </w:tcPr>
          <w:p w:rsidR="00C72F2E" w:rsidRPr="007A7087" w:rsidRDefault="00C72F2E">
            <w:pPr>
              <w:autoSpaceDE w:val="0"/>
              <w:autoSpaceDN w:val="0"/>
              <w:adjustRightInd w:val="0"/>
              <w:spacing w:after="0" w:line="240" w:lineRule="auto"/>
              <w:jc w:val="center"/>
              <w:rPr>
                <w:rFonts w:ascii="Times New Roman" w:eastAsiaTheme="minorHAnsi" w:hAnsi="Times New Roman"/>
              </w:rPr>
            </w:pPr>
            <w:r w:rsidRPr="007A7087">
              <w:rPr>
                <w:rFonts w:ascii="Times New Roman" w:eastAsiaTheme="minorHAnsi" w:hAnsi="Times New Roman"/>
              </w:rPr>
              <w:t>до 20% объема собственных и (или) привлеченных средств</w:t>
            </w:r>
          </w:p>
        </w:tc>
      </w:tr>
    </w:tbl>
    <w:p w:rsidR="00C72F2E" w:rsidRPr="00F509D0" w:rsidRDefault="00C72F2E" w:rsidP="00F509D0">
      <w:pPr>
        <w:autoSpaceDE w:val="0"/>
        <w:autoSpaceDN w:val="0"/>
        <w:adjustRightInd w:val="0"/>
        <w:spacing w:after="0" w:line="240" w:lineRule="auto"/>
        <w:jc w:val="both"/>
        <w:rPr>
          <w:rFonts w:ascii="Times New Roman" w:eastAsiaTheme="minorHAnsi" w:hAnsi="Times New Roman"/>
          <w:sz w:val="24"/>
          <w:szCs w:val="28"/>
        </w:rPr>
      </w:pPr>
      <w:r w:rsidRPr="00F509D0">
        <w:rPr>
          <w:rFonts w:ascii="Times New Roman" w:eastAsiaTheme="minorHAnsi" w:hAnsi="Times New Roman"/>
          <w:sz w:val="24"/>
          <w:szCs w:val="28"/>
        </w:rPr>
        <w:t>&lt;*&gt; Предельные объемы затрат за счет собственных и (или) привлеченных средств заявителя применяются к правоотношениям, возникшим с 01.01.2024.</w:t>
      </w:r>
    </w:p>
    <w:p w:rsidR="00C72F2E" w:rsidRPr="00AD108E" w:rsidRDefault="00C72F2E" w:rsidP="00F509D0">
      <w:pPr>
        <w:autoSpaceDE w:val="0"/>
        <w:autoSpaceDN w:val="0"/>
        <w:adjustRightInd w:val="0"/>
        <w:spacing w:after="0" w:line="240" w:lineRule="auto"/>
        <w:jc w:val="both"/>
        <w:rPr>
          <w:rFonts w:ascii="Times New Roman" w:eastAsiaTheme="minorHAnsi" w:hAnsi="Times New Roman"/>
          <w:sz w:val="28"/>
          <w:szCs w:val="28"/>
        </w:rPr>
      </w:pPr>
      <w:r w:rsidRPr="00AD108E">
        <w:rPr>
          <w:rFonts w:ascii="Times New Roman" w:eastAsiaTheme="minorHAnsi" w:hAnsi="Times New Roman"/>
          <w:sz w:val="28"/>
          <w:szCs w:val="28"/>
        </w:rPr>
        <w:t xml:space="preserve">&lt;**&gt; Максимальный уровень заработной платы, начисленной за срок реализации проекта из средств субсидии на каждого работника, составляет </w:t>
      </w:r>
      <w:r w:rsidRPr="00AD108E">
        <w:rPr>
          <w:rFonts w:ascii="Times New Roman" w:eastAsiaTheme="minorHAnsi" w:hAnsi="Times New Roman"/>
          <w:b/>
          <w:sz w:val="28"/>
          <w:szCs w:val="28"/>
          <w:u w:val="single"/>
        </w:rPr>
        <w:t>не более 150 000 рублей в месяц</w:t>
      </w:r>
      <w:r w:rsidRPr="00AD108E">
        <w:rPr>
          <w:rFonts w:ascii="Times New Roman" w:eastAsiaTheme="minorHAnsi" w:hAnsi="Times New Roman"/>
          <w:sz w:val="28"/>
          <w:szCs w:val="28"/>
        </w:rPr>
        <w:t>. Средства субсидии по данному направлению расходов (затрат) могут быть использованы для выплат за работы, предусмотренные календарным планом реализации проекта. Не допускается использование средств субсидии по данному направлению расходов (затрат) на выплаты заработной платы административному персоналу, маркетологам, сотрудникам отдела продаж и другим сотрудникам, деятельность которых не направлена на выполнение проекта в соответствии с календарным планом реализации проекта.</w:t>
      </w:r>
    </w:p>
    <w:p w:rsidR="00B52C2E" w:rsidRPr="00C1784C" w:rsidRDefault="00B52C2E" w:rsidP="00B52C2E">
      <w:pPr>
        <w:pStyle w:val="ConsPlusNormal"/>
        <w:spacing w:line="245" w:lineRule="auto"/>
        <w:ind w:firstLine="709"/>
        <w:jc w:val="both"/>
        <w:rPr>
          <w:rFonts w:ascii="Times New Roman" w:hAnsi="Times New Roman"/>
          <w:sz w:val="28"/>
          <w:szCs w:val="28"/>
        </w:rPr>
      </w:pPr>
    </w:p>
    <w:p w:rsidR="005C2964" w:rsidRPr="005C2964" w:rsidRDefault="005C2964" w:rsidP="005C2964">
      <w:pPr>
        <w:pStyle w:val="ConsPlusNormal"/>
        <w:ind w:firstLine="709"/>
        <w:jc w:val="both"/>
        <w:rPr>
          <w:rFonts w:ascii="Times New Roman" w:hAnsi="Times New Roman"/>
          <w:sz w:val="28"/>
          <w:szCs w:val="28"/>
        </w:rPr>
      </w:pPr>
      <w:bookmarkStart w:id="1" w:name="P182"/>
      <w:bookmarkEnd w:id="1"/>
      <w:proofErr w:type="spellStart"/>
      <w:r w:rsidRPr="005C2964">
        <w:rPr>
          <w:rFonts w:ascii="Times New Roman" w:hAnsi="Times New Roman"/>
          <w:sz w:val="28"/>
          <w:szCs w:val="28"/>
        </w:rPr>
        <w:lastRenderedPageBreak/>
        <w:t>МНиИП</w:t>
      </w:r>
      <w:proofErr w:type="spellEnd"/>
      <w:r w:rsidRPr="005C2964">
        <w:rPr>
          <w:rFonts w:ascii="Times New Roman" w:hAnsi="Times New Roman"/>
          <w:sz w:val="28"/>
          <w:szCs w:val="28"/>
        </w:rPr>
        <w:t xml:space="preserve"> НСО в течение пятнадцати рабочих дней после издания приказа о предоставлении субсидий, при условии своевременного выполнения требования, установленного в пункте 40 Порядка, заключает с победителями конкурса договоры.</w:t>
      </w:r>
    </w:p>
    <w:p w:rsidR="00D366B3" w:rsidRDefault="005C2964" w:rsidP="00D366B3">
      <w:pPr>
        <w:pStyle w:val="ConsPlusNormal"/>
        <w:ind w:firstLine="709"/>
        <w:jc w:val="both"/>
        <w:rPr>
          <w:rFonts w:ascii="Times New Roman" w:hAnsi="Times New Roman"/>
          <w:sz w:val="28"/>
          <w:szCs w:val="28"/>
        </w:rPr>
      </w:pPr>
      <w:r w:rsidRPr="005C2964">
        <w:rPr>
          <w:rFonts w:ascii="Times New Roman" w:hAnsi="Times New Roman"/>
          <w:sz w:val="28"/>
          <w:szCs w:val="28"/>
        </w:rPr>
        <w:t>Договоры заключаются в соответствии с типовой формой, установленной приказом министерства финансов и налоговой политики Новосибирской области.</w:t>
      </w:r>
    </w:p>
    <w:p w:rsidR="00D366B3" w:rsidRDefault="00D366B3" w:rsidP="00D366B3">
      <w:pPr>
        <w:pStyle w:val="ConsPlusNormal"/>
        <w:ind w:firstLine="709"/>
        <w:jc w:val="both"/>
        <w:rPr>
          <w:rFonts w:ascii="Times New Roman" w:hAnsi="Times New Roman"/>
          <w:sz w:val="28"/>
          <w:szCs w:val="28"/>
        </w:rPr>
      </w:pP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Обязательными требованиями, включаемыми в договоры, являются:</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 xml:space="preserve">1)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w:t>
      </w:r>
      <w:proofErr w:type="spellStart"/>
      <w:r w:rsidRPr="005C2964">
        <w:rPr>
          <w:rFonts w:ascii="Times New Roman" w:hAnsi="Times New Roman"/>
          <w:sz w:val="28"/>
          <w:szCs w:val="28"/>
        </w:rPr>
        <w:t>МНиИП</w:t>
      </w:r>
      <w:proofErr w:type="spellEnd"/>
      <w:r w:rsidRPr="005C2964">
        <w:rPr>
          <w:rFonts w:ascii="Times New Roman" w:hAnsi="Times New Roman"/>
          <w:sz w:val="28"/>
          <w:szCs w:val="28"/>
        </w:rPr>
        <w:t xml:space="preserve"> НСО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статьями 268.1 и 269.2 Бюджетного кодекса Российской Федерации;</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2) запрет на приобретение получателем субсидии, а также иными юридическими лицами, получающими средства на основании договоров, заключенных с получателями субсидий, за счет полученных из бюджета Новосибирской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при выполнении мероприятий направленных на достижение целей, указанных в пункте 3 Порядка;</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 xml:space="preserve">3) условие о согласовании новых условий договора или расторжении договора при </w:t>
      </w:r>
      <w:proofErr w:type="spellStart"/>
      <w:r w:rsidRPr="005C2964">
        <w:rPr>
          <w:rFonts w:ascii="Times New Roman" w:hAnsi="Times New Roman"/>
          <w:sz w:val="28"/>
          <w:szCs w:val="28"/>
        </w:rPr>
        <w:t>недостижении</w:t>
      </w:r>
      <w:proofErr w:type="spellEnd"/>
      <w:r w:rsidRPr="005C2964">
        <w:rPr>
          <w:rFonts w:ascii="Times New Roman" w:hAnsi="Times New Roman"/>
          <w:sz w:val="28"/>
          <w:szCs w:val="28"/>
        </w:rPr>
        <w:t xml:space="preserve"> согласия по новым условиям в случае уменьшения </w:t>
      </w:r>
      <w:proofErr w:type="spellStart"/>
      <w:r w:rsidRPr="005C2964">
        <w:rPr>
          <w:rFonts w:ascii="Times New Roman" w:hAnsi="Times New Roman"/>
          <w:sz w:val="28"/>
          <w:szCs w:val="28"/>
        </w:rPr>
        <w:t>МНиИП</w:t>
      </w:r>
      <w:proofErr w:type="spellEnd"/>
      <w:r w:rsidRPr="005C2964">
        <w:rPr>
          <w:rFonts w:ascii="Times New Roman" w:hAnsi="Times New Roman"/>
          <w:sz w:val="28"/>
          <w:szCs w:val="28"/>
        </w:rPr>
        <w:t xml:space="preserve"> НСО как получателю бюджетных средств ранее доведенных лимитов бюджетных обязательств, указанных в пункте 4 Порядка, приводящего к невозможности предоставления субсидии в размере, определенном в договоре;</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4)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5C2964" w:rsidRPr="005C2964" w:rsidRDefault="005C2964" w:rsidP="005C2964">
      <w:pPr>
        <w:pStyle w:val="ConsPlusNormal"/>
        <w:ind w:firstLine="709"/>
        <w:jc w:val="both"/>
        <w:rPr>
          <w:rFonts w:ascii="Times New Roman" w:hAnsi="Times New Roman"/>
          <w:sz w:val="28"/>
          <w:szCs w:val="28"/>
        </w:rPr>
      </w:pPr>
      <w:r w:rsidRPr="005C2964">
        <w:rPr>
          <w:rFonts w:ascii="Times New Roman" w:hAnsi="Times New Roman"/>
          <w:sz w:val="28"/>
          <w:szCs w:val="28"/>
        </w:rPr>
        <w:t>5) направление получателем субсидии сведений о проведении НИР и ОКР гражданского назначения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12.04.2013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A22D8F" w:rsidRDefault="005C2964" w:rsidP="00A22D8F">
      <w:pPr>
        <w:pStyle w:val="ConsPlusNormal"/>
        <w:ind w:firstLine="709"/>
        <w:jc w:val="both"/>
        <w:rPr>
          <w:rFonts w:ascii="Times New Roman" w:hAnsi="Times New Roman"/>
          <w:sz w:val="28"/>
          <w:szCs w:val="28"/>
        </w:rPr>
      </w:pPr>
      <w:r w:rsidRPr="005C2964">
        <w:rPr>
          <w:rFonts w:ascii="Times New Roman" w:hAnsi="Times New Roman"/>
          <w:sz w:val="28"/>
          <w:szCs w:val="28"/>
        </w:rPr>
        <w:t>6)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w:t>
      </w:r>
      <w:r w:rsidRPr="005C2964">
        <w:t xml:space="preserve"> </w:t>
      </w:r>
      <w:r w:rsidRPr="005C2964">
        <w:rPr>
          <w:rFonts w:ascii="Times New Roman" w:hAnsi="Times New Roman"/>
          <w:sz w:val="28"/>
          <w:szCs w:val="28"/>
        </w:rPr>
        <w:t xml:space="preserve">при принятии </w:t>
      </w:r>
      <w:proofErr w:type="spellStart"/>
      <w:r w:rsidRPr="005C2964">
        <w:rPr>
          <w:rFonts w:ascii="Times New Roman" w:hAnsi="Times New Roman"/>
          <w:sz w:val="28"/>
          <w:szCs w:val="28"/>
        </w:rPr>
        <w:t>МНиИП</w:t>
      </w:r>
      <w:proofErr w:type="spellEnd"/>
      <w:r w:rsidRPr="005C2964">
        <w:rPr>
          <w:rFonts w:ascii="Times New Roman" w:hAnsi="Times New Roman"/>
          <w:sz w:val="28"/>
          <w:szCs w:val="28"/>
        </w:rPr>
        <w:t xml:space="preserve"> НСО как получателем бюджетных средств по согласованию с министерством финансов Новосибирской области в порядке, установленном Правительством Новосибирской области,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r w:rsidR="00A22D8F">
        <w:rPr>
          <w:rFonts w:ascii="Times New Roman" w:hAnsi="Times New Roman"/>
          <w:sz w:val="28"/>
          <w:szCs w:val="28"/>
        </w:rPr>
        <w:t>абзаце втором пункта 55 Порядка;</w:t>
      </w:r>
    </w:p>
    <w:p w:rsidR="00A22D8F" w:rsidRPr="005C2964" w:rsidRDefault="00A22D8F" w:rsidP="00A22D8F">
      <w:pPr>
        <w:pStyle w:val="ConsPlusNormal"/>
        <w:ind w:firstLine="709"/>
        <w:jc w:val="both"/>
        <w:rPr>
          <w:rFonts w:ascii="Times New Roman" w:hAnsi="Times New Roman"/>
          <w:sz w:val="28"/>
          <w:szCs w:val="28"/>
        </w:rPr>
      </w:pPr>
      <w:r>
        <w:rPr>
          <w:rFonts w:ascii="Times New Roman" w:hAnsi="Times New Roman"/>
          <w:sz w:val="28"/>
          <w:szCs w:val="28"/>
        </w:rPr>
        <w:t>7) </w:t>
      </w:r>
      <w:r w:rsidRPr="00A22D8F">
        <w:rPr>
          <w:rFonts w:ascii="Times New Roman" w:hAnsi="Times New Roman"/>
          <w:sz w:val="28"/>
          <w:szCs w:val="28"/>
        </w:rPr>
        <w:t xml:space="preserve">обязательство получателя субсидии по представлению в налоговый орган согласия на предоставление налоговым органом сведений о налогоплательщике (плательщике страховых взносов), составляющих налоговую тайну, в </w:t>
      </w:r>
      <w:proofErr w:type="spellStart"/>
      <w:r w:rsidRPr="00A22D8F">
        <w:rPr>
          <w:rFonts w:ascii="Times New Roman" w:hAnsi="Times New Roman"/>
          <w:sz w:val="28"/>
          <w:szCs w:val="28"/>
        </w:rPr>
        <w:t>МНиИП</w:t>
      </w:r>
      <w:proofErr w:type="spellEnd"/>
      <w:r w:rsidRPr="00A22D8F">
        <w:rPr>
          <w:rFonts w:ascii="Times New Roman" w:hAnsi="Times New Roman"/>
          <w:sz w:val="28"/>
          <w:szCs w:val="28"/>
        </w:rPr>
        <w:t xml:space="preserve"> НСО по форме, утвержденной приказом Федеральной налоговой службы.</w:t>
      </w:r>
    </w:p>
    <w:p w:rsidR="00D366B3" w:rsidRDefault="00D366B3" w:rsidP="005C2964">
      <w:pPr>
        <w:pStyle w:val="ConsPlusNormal"/>
        <w:ind w:firstLine="709"/>
        <w:jc w:val="both"/>
        <w:rPr>
          <w:rFonts w:ascii="Times New Roman" w:hAnsi="Times New Roman"/>
          <w:sz w:val="28"/>
          <w:szCs w:val="28"/>
        </w:rPr>
      </w:pPr>
    </w:p>
    <w:p w:rsidR="00A22D8F" w:rsidRDefault="005C2964" w:rsidP="00A22D8F">
      <w:pPr>
        <w:pStyle w:val="ConsPlusNormal"/>
        <w:ind w:firstLine="709"/>
        <w:jc w:val="both"/>
        <w:rPr>
          <w:rFonts w:ascii="Times New Roman" w:hAnsi="Times New Roman"/>
          <w:b/>
          <w:sz w:val="28"/>
          <w:szCs w:val="28"/>
        </w:rPr>
      </w:pPr>
      <w:r w:rsidRPr="00D1232D">
        <w:rPr>
          <w:rFonts w:ascii="Times New Roman" w:hAnsi="Times New Roman"/>
          <w:b/>
          <w:sz w:val="28"/>
          <w:szCs w:val="28"/>
        </w:rPr>
        <w:t>Для целей Порядка планируемыми результатами предоставления субсидии, в целях достижения которых предоставляется субсидия, являются:</w:t>
      </w:r>
    </w:p>
    <w:p w:rsidR="005C2964" w:rsidRPr="00A22D8F" w:rsidRDefault="005C2964" w:rsidP="00A22D8F">
      <w:pPr>
        <w:pStyle w:val="ConsPlusNormal"/>
        <w:ind w:firstLine="709"/>
        <w:jc w:val="both"/>
        <w:rPr>
          <w:rFonts w:ascii="Times New Roman" w:hAnsi="Times New Roman"/>
          <w:b/>
          <w:sz w:val="28"/>
          <w:szCs w:val="28"/>
        </w:rPr>
      </w:pPr>
      <w:r w:rsidRPr="005C2964">
        <w:rPr>
          <w:rFonts w:ascii="Times New Roman" w:hAnsi="Times New Roman"/>
          <w:sz w:val="28"/>
          <w:szCs w:val="28"/>
        </w:rPr>
        <w:t xml:space="preserve">1) процент выполнения работ согласно этапам реализации проекта, определенным в </w:t>
      </w:r>
      <w:r w:rsidR="00A22D8F">
        <w:rPr>
          <w:rFonts w:ascii="Times New Roman" w:hAnsi="Times New Roman"/>
          <w:sz w:val="28"/>
          <w:szCs w:val="28"/>
        </w:rPr>
        <w:t xml:space="preserve">календарном плане </w:t>
      </w:r>
      <w:r w:rsidR="00A22D8F">
        <w:rPr>
          <w:rFonts w:ascii="Times New Roman" w:eastAsiaTheme="minorHAnsi" w:hAnsi="Times New Roman"/>
          <w:sz w:val="28"/>
          <w:szCs w:val="28"/>
        </w:rPr>
        <w:t>реализации прое</w:t>
      </w:r>
      <w:r w:rsidR="00A22D8F">
        <w:rPr>
          <w:rFonts w:ascii="Times New Roman" w:eastAsiaTheme="minorHAnsi" w:hAnsi="Times New Roman"/>
          <w:sz w:val="28"/>
          <w:szCs w:val="28"/>
        </w:rPr>
        <w:t>кта</w:t>
      </w:r>
      <w:r w:rsidRPr="005C2964">
        <w:rPr>
          <w:rFonts w:ascii="Times New Roman" w:hAnsi="Times New Roman"/>
          <w:sz w:val="28"/>
          <w:szCs w:val="28"/>
        </w:rPr>
        <w:t>, являющейся неотъемлемой частью договора;</w:t>
      </w:r>
    </w:p>
    <w:p w:rsidR="005A0F54" w:rsidRPr="00A22D8F" w:rsidRDefault="005C2964" w:rsidP="00A22D8F">
      <w:pPr>
        <w:pStyle w:val="ConsPlusNormal"/>
        <w:ind w:firstLine="709"/>
        <w:jc w:val="both"/>
        <w:rPr>
          <w:rFonts w:ascii="Times New Roman" w:hAnsi="Times New Roman"/>
          <w:sz w:val="28"/>
          <w:szCs w:val="28"/>
        </w:rPr>
      </w:pPr>
      <w:r w:rsidRPr="005C2964">
        <w:rPr>
          <w:rFonts w:ascii="Times New Roman" w:hAnsi="Times New Roman"/>
          <w:sz w:val="28"/>
          <w:szCs w:val="28"/>
        </w:rPr>
        <w:t>2) получение по итогам НИР и (или) ОКР охраняемых результатов интеллектуальной деятельности, предусмотренных Гражданским кодексом Российской Федерации.</w:t>
      </w:r>
      <w:bookmarkStart w:id="2" w:name="_GoBack"/>
      <w:bookmarkEnd w:id="2"/>
    </w:p>
    <w:sectPr w:rsidR="005A0F54" w:rsidRPr="00A22D8F" w:rsidSect="00D366B3">
      <w:pgSz w:w="11906" w:h="16838"/>
      <w:pgMar w:top="1134"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5C"/>
    <w:rsid w:val="000D1712"/>
    <w:rsid w:val="005A0F54"/>
    <w:rsid w:val="005C2964"/>
    <w:rsid w:val="007A7087"/>
    <w:rsid w:val="00A22D8F"/>
    <w:rsid w:val="00A57198"/>
    <w:rsid w:val="00AD108E"/>
    <w:rsid w:val="00B52C2E"/>
    <w:rsid w:val="00C72F2E"/>
    <w:rsid w:val="00D1232D"/>
    <w:rsid w:val="00D366B3"/>
    <w:rsid w:val="00F04975"/>
    <w:rsid w:val="00F509D0"/>
    <w:rsid w:val="00F9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35BD"/>
  <w15:chartTrackingRefBased/>
  <w15:docId w15:val="{DB136C33-7164-4592-90F9-C6A0D4D3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29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2964"/>
    <w:pPr>
      <w:widowControl w:val="0"/>
      <w:spacing w:after="0" w:line="240" w:lineRule="auto"/>
    </w:pPr>
    <w:rPr>
      <w:rFonts w:ascii="Arial" w:eastAsia="Times New Roman" w:hAnsi="Arial" w:cs="Times New Roman"/>
      <w:sz w:val="20"/>
      <w:lang w:eastAsia="ru-RU"/>
    </w:rPr>
  </w:style>
  <w:style w:type="character" w:customStyle="1" w:styleId="ConsPlusNormal0">
    <w:name w:val="ConsPlusNormal Знак"/>
    <w:link w:val="ConsPlusNormal"/>
    <w:locked/>
    <w:rsid w:val="005C2964"/>
    <w:rPr>
      <w:rFonts w:ascii="Arial" w:eastAsia="Times New Roman" w:hAnsi="Arial"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1511</Words>
  <Characters>8618</Characters>
  <Application>Microsoft Office Word</Application>
  <DocSecurity>0</DocSecurity>
  <Lines>71</Lines>
  <Paragraphs>20</Paragraphs>
  <ScaleCrop>false</ScaleCrop>
  <Company>PNO</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Бочкарев Сергей Валерьевич</dc:creator>
  <cp:keywords/>
  <dc:description/>
  <cp:lastModifiedBy>Бочкарев Сергей Валерьевич</cp:lastModifiedBy>
  <cp:revision>13</cp:revision>
  <dcterms:created xsi:type="dcterms:W3CDTF">2023-01-09T05:25:00Z</dcterms:created>
  <dcterms:modified xsi:type="dcterms:W3CDTF">2024-01-10T02:36:00Z</dcterms:modified>
</cp:coreProperties>
</file>