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8" w:rsidRDefault="00191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9B67B8" w:rsidRDefault="00191F5B">
      <w:pPr>
        <w:pStyle w:val="af1"/>
        <w:shd w:val="clear" w:color="auto" w:fill="FFFFFF"/>
        <w:contextualSpacing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к участникам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</w:t>
      </w:r>
    </w:p>
    <w:p w:rsidR="009B67B8" w:rsidRDefault="009B67B8">
      <w:pPr>
        <w:pStyle w:val="af1"/>
        <w:shd w:val="clear" w:color="auto" w:fill="FFFFFF"/>
        <w:ind w:firstLine="709"/>
        <w:contextualSpacing/>
        <w:jc w:val="both"/>
        <w:rPr>
          <w:b/>
          <w:color w:val="212529"/>
          <w:sz w:val="28"/>
          <w:szCs w:val="28"/>
        </w:rPr>
      </w:pP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Требования к участникам конкурса: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1) </w:t>
      </w:r>
      <w:r w:rsidRPr="006E15D0">
        <w:rPr>
          <w:color w:val="auto"/>
          <w:sz w:val="28"/>
          <w:szCs w:val="28"/>
        </w:rPr>
        <w:t xml:space="preserve">участник конкурса </w:t>
      </w:r>
      <w:r w:rsidRPr="006E15D0">
        <w:rPr>
          <w:color w:val="auto"/>
          <w:sz w:val="28"/>
          <w:szCs w:val="28"/>
        </w:rPr>
        <w:t>по состоянию не ранее первого числа месяца подачи заявки: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а) не является иностранным юридическим лицом, в том числе местом регистрации которого является государство или территория, включенные в 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в)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г) не получает средства из областного бюджета на основании иных нормативных правовых актов на цели, указанные в пункте 3 Порядка;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д) 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е) </w:t>
      </w:r>
      <w:r>
        <w:rPr>
          <w:color w:val="auto"/>
          <w:sz w:val="28"/>
          <w:szCs w:val="28"/>
        </w:rPr>
        <w:t>н</w:t>
      </w:r>
      <w:r w:rsidRPr="006E15D0">
        <w:rPr>
          <w:color w:val="auto"/>
          <w:sz w:val="28"/>
          <w:szCs w:val="28"/>
        </w:rPr>
        <w:t>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2) </w:t>
      </w:r>
      <w:r w:rsidR="00555B65">
        <w:rPr>
          <w:color w:val="auto"/>
          <w:sz w:val="28"/>
          <w:szCs w:val="28"/>
        </w:rPr>
        <w:t xml:space="preserve">У </w:t>
      </w:r>
      <w:r w:rsidRPr="006E15D0">
        <w:rPr>
          <w:color w:val="auto"/>
          <w:sz w:val="28"/>
          <w:szCs w:val="28"/>
        </w:rPr>
        <w:t>участник</w:t>
      </w:r>
      <w:r w:rsidR="00555B65">
        <w:rPr>
          <w:color w:val="auto"/>
          <w:sz w:val="28"/>
          <w:szCs w:val="28"/>
        </w:rPr>
        <w:t>а</w:t>
      </w:r>
      <w:r w:rsidRPr="006E15D0">
        <w:rPr>
          <w:color w:val="auto"/>
          <w:sz w:val="28"/>
          <w:szCs w:val="28"/>
        </w:rPr>
        <w:t xml:space="preserve"> конкурса </w:t>
      </w:r>
      <w:r w:rsidRPr="006E15D0">
        <w:rPr>
          <w:color w:val="auto"/>
          <w:sz w:val="28"/>
          <w:szCs w:val="28"/>
        </w:rPr>
        <w:t>по состоянию не ранее первого числа месяца подачи заявки:</w:t>
      </w:r>
    </w:p>
    <w:p w:rsidR="006E15D0" w:rsidRDefault="006E15D0" w:rsidP="009F5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cs="Calibri"/>
          <w:color w:val="auto"/>
          <w:sz w:val="28"/>
          <w:szCs w:val="28"/>
        </w:rPr>
      </w:pPr>
      <w:r w:rsidRPr="006E15D0">
        <w:rPr>
          <w:rFonts w:cs="Calibri"/>
          <w:color w:val="auto"/>
          <w:sz w:val="28"/>
          <w:szCs w:val="28"/>
        </w:rPr>
        <w:t xml:space="preserve">а) отсутствует </w:t>
      </w:r>
      <w:r w:rsidR="009C61DE" w:rsidRPr="009C61DE">
        <w:rPr>
          <w:rFonts w:cs="Calibri"/>
          <w:color w:val="auto"/>
          <w:sz w:val="28"/>
          <w:szCs w:val="28"/>
        </w:rPr>
        <w:t xml:space="preserve">на едином налоговом счете </w:t>
      </w:r>
      <w:r w:rsidR="009C61DE">
        <w:rPr>
          <w:rFonts w:cs="Calibri"/>
          <w:color w:val="auto"/>
          <w:sz w:val="28"/>
          <w:szCs w:val="28"/>
        </w:rPr>
        <w:t xml:space="preserve">задолженность </w:t>
      </w:r>
      <w:r w:rsidR="009C61DE" w:rsidRPr="009C61DE">
        <w:rPr>
          <w:rFonts w:cs="Calibri"/>
          <w:color w:val="auto"/>
          <w:sz w:val="28"/>
          <w:szCs w:val="28"/>
        </w:rPr>
        <w:t xml:space="preserve">по уплате налогов, сборов и страховых взносов в бюджеты бюджетной системы Российской Федерации </w:t>
      </w:r>
      <w:r w:rsidRPr="006E15D0">
        <w:rPr>
          <w:rFonts w:cs="Calibri"/>
          <w:color w:val="auto"/>
          <w:sz w:val="28"/>
          <w:szCs w:val="28"/>
        </w:rPr>
        <w:t xml:space="preserve">или </w:t>
      </w:r>
      <w:r w:rsidR="009C61DE">
        <w:rPr>
          <w:rFonts w:cs="Calibri"/>
          <w:color w:val="auto"/>
          <w:sz w:val="28"/>
          <w:szCs w:val="28"/>
        </w:rPr>
        <w:t xml:space="preserve">ее размер </w:t>
      </w:r>
      <w:r w:rsidRPr="006E15D0">
        <w:rPr>
          <w:rFonts w:cs="Calibri"/>
          <w:color w:val="auto"/>
          <w:sz w:val="28"/>
          <w:szCs w:val="28"/>
        </w:rPr>
        <w:t>не превышает, определенный пунктом 3 статьи 47 Налогового кодекса Российской Федерации;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6E15D0">
        <w:rPr>
          <w:color w:val="auto"/>
          <w:sz w:val="28"/>
          <w:szCs w:val="28"/>
        </w:rPr>
        <w:t>б) </w:t>
      </w:r>
      <w:r w:rsidRPr="006E15D0">
        <w:rPr>
          <w:rFonts w:cs="Calibri"/>
          <w:color w:val="auto"/>
          <w:sz w:val="28"/>
          <w:szCs w:val="28"/>
        </w:rPr>
        <w:t>отсутствует</w:t>
      </w:r>
      <w:r w:rsidRPr="006E15D0">
        <w:rPr>
          <w:rFonts w:cs="Arial"/>
          <w:color w:val="auto"/>
          <w:sz w:val="28"/>
          <w:szCs w:val="28"/>
        </w:rPr>
        <w:t xml:space="preserve"> просроченная задолженность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rFonts w:cs="Arial"/>
          <w:color w:val="auto"/>
          <w:sz w:val="28"/>
          <w:szCs w:val="28"/>
        </w:rPr>
        <w:t xml:space="preserve">в) отсутствуют сведения </w:t>
      </w:r>
      <w:r w:rsidR="00555B65" w:rsidRPr="00555B65">
        <w:rPr>
          <w:rFonts w:cs="Arial"/>
          <w:color w:val="auto"/>
          <w:sz w:val="28"/>
          <w:szCs w:val="28"/>
        </w:rPr>
        <w:t xml:space="preserve">в реестре дисквалифицированных лиц </w:t>
      </w:r>
      <w:r w:rsidRPr="006E15D0">
        <w:rPr>
          <w:rFonts w:cs="Arial"/>
          <w:color w:val="auto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3) участник конкурса соответствует требованиям к нему, установленным конкурсной документацией;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4) участник конкурса предоставил в РНФ конкурсную заявку в соответствии с подпунктом 1 пункта 18 Порядка.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5) участник конкурса обязан обеспечить: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а) предоставление научному коллективу для проведения научного исследования пригодное для работы помещение, а также доступ к имеющейся экспериментальной базе участника конкурса, на основании правового акта участника конкурса;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б) реализацию Проекта в полном объеме, осуществив затраты на цели предоставления Гранта в течение периода с даты подачи заявки до 31 декабря года предоставления Гранта, а в случае возникновения по состоянию на 1 января года, следующего за отчетным годом, неиспользованного остатка Гранта проинформировать Министерство, в целях принятия им решения в соответствии с пунктом 64 Порядка;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в) расходование средства Гранта после подписания соглашения о предоставлении гранта по заявкам руководителя научного коллектива в соответствии с настоящим Порядком и условиями соглашения о предоставлении гранта;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г) прекращение расходования средств Гранта при возникновении обстоятельств, препятствующих и (или) свидетельствующих о нецелесообразности дальнейшей реализации Проекта, и проинформировать Министерство о возникновении указанных обстоятельств в течение пяти рабочих дней со дня их возникновения;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д) установление приказом состава (изменения состава) научного коллектива, на основании письменного решения (заявки, визы) руководителя научного коллектива в течение 5 (пяти) рабочих дней со дня его представления, осуществление контроля соответствия состава научного коллектива условиям соглашения о предоставлении гранта (в части запрета участия в реализации Проекта: ученого, в любом качестве принимающего участие в реализации двух или более проектов РНФ;</w:t>
      </w:r>
      <w:r w:rsidRPr="006E15D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E15D0">
        <w:rPr>
          <w:color w:val="auto"/>
          <w:sz w:val="28"/>
          <w:szCs w:val="28"/>
        </w:rPr>
        <w:t>работника организации, в непосредственном административном подчинении которого находится руководитель научного коллектива);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е) заключение с каждым из членов научного коллектива, в том числе с руководителем научного коллектива, гражданско-правовых или трудовых (срочных трудовых) договоров, если члены научного коллектива не состоят в гражданско-правовых или трудовых отношениях с участником конкурса. При необходимости – дополнение действующих гражданско-правовых или трудовых договоров с членами научного коллектива в соответствии с условиями соглашения о предоставлении гранта;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ж) выплату всем членам научного коллектива и лицам категории «вспомогательный персонал» вознаграждения за выполнение работ по Проекту за счет Гранта на основании письменного поручения (заявки, визы) руководителя научного коллектива, соблюдая при этом требования конкурсной документации;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з) ведение раздельного учета денежных операций, произведенных при использовании Гранта (включая учет накладных расходов Грантополучателя);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и) преимущественное право Правительства Новосибирской области на использование результатов интеллектуальной деятельности, полученных по итогам реализации Проекта, в соответствии с законодательством Российской Федерации, в случае заинтересованности Правительства Новосибирской области в таких результатах;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к) направление сведений о проведении научно-исследовательских, опытно-конструкторских и технологических работ гражданского назначения в Министерство науки и высшего образования Российской Федерации в порядке, предусмотренном постановлением Правительства Российской Федерации от 12.04.2013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л) использование не более 10 процентов от средств Гранта в качестве накладных расходов Грантополучателя;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м) использование не более 15 процентов от средств Гранта на оплату научно-исследовательских работ сторонних организаций, выполненных в целях предоставления Гранта;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н) выполнение иных обязательств Грантополучателя, содержащихся в соглашении о предоставлении гранта;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6) участник конкурса соглашается на публикацию (размещение) в сети «Интернет» информации о себе, о подаваемой им конкурсной заявке, иной общедоступной информации об участнике конкурса, связанной с его участием в конкурсе.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Соблюдение участником конкурса требований, предусмотренных подпунктами 1 – 2 настоящего пункта Порядка, устанавливается Министерством на основании информации и (или) документов, запрошенных Министерством в соответствии с подпунктом 1 пункта 34 Порядка.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Соблюдение участником конкурса требований, предусмотренных подпунктами 3 – 4 настоящего пункта Порядка, устанавливается Министерством наличием Проекта, указанного в конкурсной заявке, в перечне поступивших на конкурс Проектов, в соответствии с подпунктом 2 пункта 34 Порядка.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 xml:space="preserve">Соблюдение участником конкурса требований, предусмотренных подпунктами 4 – 5 настоящего пункта Порядка, обеспечивается путем включения указанных требований в соответствии с пунктом </w:t>
      </w:r>
      <w:r w:rsidRPr="006E15D0">
        <w:rPr>
          <w:color w:val="auto"/>
          <w:sz w:val="28"/>
          <w:szCs w:val="28"/>
          <w:highlight w:val="white"/>
        </w:rPr>
        <w:t xml:space="preserve">44 </w:t>
      </w:r>
      <w:r w:rsidRPr="006E15D0">
        <w:rPr>
          <w:color w:val="auto"/>
          <w:sz w:val="28"/>
          <w:szCs w:val="28"/>
        </w:rPr>
        <w:t>Порядка в соглашение о предоставлении гранта.</w:t>
      </w:r>
    </w:p>
    <w:p w:rsidR="006E15D0" w:rsidRPr="006E15D0" w:rsidRDefault="006E15D0" w:rsidP="006E15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auto"/>
          <w:sz w:val="28"/>
          <w:szCs w:val="28"/>
        </w:rPr>
      </w:pPr>
      <w:r w:rsidRPr="006E15D0">
        <w:rPr>
          <w:color w:val="auto"/>
          <w:sz w:val="28"/>
          <w:szCs w:val="28"/>
        </w:rPr>
        <w:t>Выполнение требования, определенного подпунктом 6 настоящего пункта Порядка, осуществляется также в отношении победителей конкурса (Грантополучателей), согласно пункту 39 Порядка.</w:t>
      </w:r>
    </w:p>
    <w:sectPr w:rsidR="006E15D0" w:rsidRPr="006E15D0">
      <w:headerReference w:type="default" r:id="rId7"/>
      <w:pgSz w:w="11905" w:h="16838"/>
      <w:pgMar w:top="1134" w:right="567" w:bottom="1134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1F5B">
      <w:r>
        <w:separator/>
      </w:r>
    </w:p>
  </w:endnote>
  <w:endnote w:type="continuationSeparator" w:id="0">
    <w:p w:rsidR="00000000" w:rsidRDefault="0019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1F5B">
      <w:r>
        <w:separator/>
      </w:r>
    </w:p>
  </w:footnote>
  <w:footnote w:type="continuationSeparator" w:id="0">
    <w:p w:rsidR="00000000" w:rsidRDefault="0019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8" w:rsidRDefault="009B67B8">
    <w:pPr>
      <w:pStyle w:val="a6"/>
      <w:jc w:val="center"/>
    </w:pPr>
  </w:p>
  <w:p w:rsidR="009B67B8" w:rsidRDefault="009B67B8">
    <w:pPr>
      <w:pStyle w:val="a6"/>
      <w:jc w:val="center"/>
    </w:pPr>
  </w:p>
  <w:p w:rsidR="009B67B8" w:rsidRDefault="00191F5B">
    <w:pPr>
      <w:pStyle w:val="a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A1A"/>
    <w:multiLevelType w:val="multilevel"/>
    <w:tmpl w:val="25B852D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08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b/>
      </w:rPr>
    </w:lvl>
  </w:abstractNum>
  <w:abstractNum w:abstractNumId="1" w15:restartNumberingAfterBreak="0">
    <w:nsid w:val="3A562D05"/>
    <w:multiLevelType w:val="hybridMultilevel"/>
    <w:tmpl w:val="C2EA31A8"/>
    <w:lvl w:ilvl="0" w:tplc="7C0E9BBC">
      <w:start w:val="1"/>
      <w:numFmt w:val="upperRoman"/>
      <w:lvlText w:val="%1."/>
      <w:lvlJc w:val="right"/>
      <w:pPr>
        <w:ind w:left="2149" w:hanging="360"/>
      </w:pPr>
    </w:lvl>
    <w:lvl w:ilvl="1" w:tplc="E632BF10">
      <w:start w:val="1"/>
      <w:numFmt w:val="lowerLetter"/>
      <w:lvlText w:val="%2."/>
      <w:lvlJc w:val="left"/>
      <w:pPr>
        <w:ind w:left="2869" w:hanging="360"/>
      </w:pPr>
    </w:lvl>
    <w:lvl w:ilvl="2" w:tplc="4DDC6D16">
      <w:start w:val="1"/>
      <w:numFmt w:val="lowerRoman"/>
      <w:lvlText w:val="%3."/>
      <w:lvlJc w:val="right"/>
      <w:pPr>
        <w:ind w:left="3589" w:hanging="180"/>
      </w:pPr>
    </w:lvl>
    <w:lvl w:ilvl="3" w:tplc="5C9C5268">
      <w:start w:val="1"/>
      <w:numFmt w:val="decimal"/>
      <w:lvlText w:val="%4."/>
      <w:lvlJc w:val="left"/>
      <w:pPr>
        <w:ind w:left="4309" w:hanging="360"/>
      </w:pPr>
    </w:lvl>
    <w:lvl w:ilvl="4" w:tplc="B2A03BBA">
      <w:start w:val="1"/>
      <w:numFmt w:val="lowerLetter"/>
      <w:lvlText w:val="%5."/>
      <w:lvlJc w:val="left"/>
      <w:pPr>
        <w:ind w:left="5029" w:hanging="360"/>
      </w:pPr>
    </w:lvl>
    <w:lvl w:ilvl="5" w:tplc="D00E5B80">
      <w:start w:val="1"/>
      <w:numFmt w:val="lowerRoman"/>
      <w:lvlText w:val="%6."/>
      <w:lvlJc w:val="right"/>
      <w:pPr>
        <w:ind w:left="5749" w:hanging="180"/>
      </w:pPr>
    </w:lvl>
    <w:lvl w:ilvl="6" w:tplc="BB8679A4">
      <w:start w:val="1"/>
      <w:numFmt w:val="decimal"/>
      <w:lvlText w:val="%7."/>
      <w:lvlJc w:val="left"/>
      <w:pPr>
        <w:ind w:left="6469" w:hanging="360"/>
      </w:pPr>
    </w:lvl>
    <w:lvl w:ilvl="7" w:tplc="F190E210">
      <w:start w:val="1"/>
      <w:numFmt w:val="lowerLetter"/>
      <w:lvlText w:val="%8."/>
      <w:lvlJc w:val="left"/>
      <w:pPr>
        <w:ind w:left="7189" w:hanging="360"/>
      </w:pPr>
    </w:lvl>
    <w:lvl w:ilvl="8" w:tplc="42CAA1F8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58CF51E4"/>
    <w:multiLevelType w:val="multilevel"/>
    <w:tmpl w:val="ED0C885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7B8"/>
    <w:rsid w:val="00191F5B"/>
    <w:rsid w:val="00555B65"/>
    <w:rsid w:val="006E15D0"/>
    <w:rsid w:val="009B67B8"/>
    <w:rsid w:val="009C61DE"/>
    <w:rsid w:val="009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443"/>
  <w15:docId w15:val="{FBF6B2FC-A476-447E-9611-A009A204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CharStyle7">
    <w:name w:val="Char Style 7"/>
    <w:link w:val="Style6"/>
    <w:uiPriority w:val="9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line="223" w:lineRule="exact"/>
      <w:jc w:val="both"/>
    </w:pPr>
    <w:rPr>
      <w:rFonts w:ascii="Calibri" w:eastAsia="Calibri" w:hAnsi="Calibri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5">
    <w:name w:val="Знак Знак Знак Знак"/>
    <w:basedOn w:val="a"/>
    <w:pPr>
      <w:widowControl/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styleId="aa">
    <w:name w:val="Placeholder Text"/>
    <w:uiPriority w:val="99"/>
    <w:semiHidden/>
    <w:rPr>
      <w:color w:val="808080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rFonts w:ascii="Times New Roman" w:eastAsia="Times New Roman" w:hAnsi="Times New Roman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link w:val="ae"/>
    <w:uiPriority w:val="99"/>
    <w:semiHidden/>
    <w:rPr>
      <w:rFonts w:ascii="Times New Roman" w:eastAsia="Times New Roman" w:hAnsi="Times New Roman"/>
      <w:b/>
      <w:bCs/>
      <w:color w:val="000000"/>
    </w:rPr>
  </w:style>
  <w:style w:type="table" w:styleId="af0">
    <w:name w:val="Table Grid"/>
    <w:basedOn w:val="a1"/>
    <w:uiPriority w:val="39"/>
    <w:tblPr/>
  </w:style>
  <w:style w:type="paragraph" w:styleId="af1">
    <w:name w:val="Normal (Web)"/>
    <w:basedOn w:val="a"/>
    <w:uiPriority w:val="99"/>
    <w:unhideWhenUsed/>
    <w:pPr>
      <w:widowControl/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F5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Юрчак Юлия Владимировна</dc:creator>
  <cp:lastModifiedBy>Юрчак Юлия Владимировна</cp:lastModifiedBy>
  <cp:revision>6</cp:revision>
  <dcterms:created xsi:type="dcterms:W3CDTF">2023-08-18T10:08:00Z</dcterms:created>
  <dcterms:modified xsi:type="dcterms:W3CDTF">2024-08-05T11:06:00Z</dcterms:modified>
  <cp:version>1048576</cp:version>
</cp:coreProperties>
</file>